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ind w:left="720" w:firstLine="0"/>
        <w:jc w:val="center"/>
        <w:rPr>
          <w:rFonts w:ascii="Arial" w:cs="Arial" w:eastAsia="Arial" w:hAnsi="Arial"/>
          <w:b w:val="1"/>
        </w:rPr>
      </w:pPr>
      <w:r w:rsidDel="00000000" w:rsidR="00000000" w:rsidRPr="00000000">
        <w:rPr>
          <w:rFonts w:ascii="Arial" w:cs="Arial" w:eastAsia="Arial" w:hAnsi="Arial"/>
          <w:b w:val="1"/>
          <w:rtl w:val="0"/>
        </w:rPr>
        <w:t xml:space="preserve">Mini Lube Truck </w:t>
      </w:r>
      <w:r w:rsidDel="00000000" w:rsidR="00000000" w:rsidRPr="00000000">
        <w:rPr>
          <w:rtl w:val="0"/>
        </w:rPr>
      </w:r>
    </w:p>
    <w:p w:rsidR="00000000" w:rsidDel="00000000" w:rsidP="00000000" w:rsidRDefault="00000000" w:rsidRPr="00000000" w14:paraId="00000006">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7">
      <w:pPr>
        <w:ind w:left="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The </w:t>
      </w:r>
      <w:hyperlink r:id="rId8">
        <w:r w:rsidDel="00000000" w:rsidR="00000000" w:rsidRPr="00000000">
          <w:rPr>
            <w:rFonts w:ascii="Arial" w:cs="Arial" w:eastAsia="Arial" w:hAnsi="Arial"/>
            <w:color w:val="1155cc"/>
            <w:sz w:val="22"/>
            <w:szCs w:val="22"/>
            <w:u w:val="single"/>
            <w:rtl w:val="0"/>
          </w:rPr>
          <w:t xml:space="preserve">mini lube truck</w:t>
        </w:r>
      </w:hyperlink>
      <w:r w:rsidDel="00000000" w:rsidR="00000000" w:rsidRPr="00000000">
        <w:rPr>
          <w:rFonts w:ascii="Arial" w:cs="Arial" w:eastAsia="Arial" w:hAnsi="Arial"/>
          <w:sz w:val="22"/>
          <w:szCs w:val="22"/>
          <w:rtl w:val="0"/>
        </w:rPr>
        <w:t xml:space="preserve"> is designed for both CDL and non-CDL applications and offers a rugged, single-axle solution that’s equally effective on and off the road. Whether it’s an open or enclosed body style, the mini lube truck carries 4 – 5 oil pumping systems, including systems for used oil, antifreeze and grease. Custom-designed storage cabinets provide the most underbody storage in the industry, ensuring that operators have all the equipment they need on hand. The unit’s used oil evacuation system allows for rapid and efficient oil removal from machinery, while the new oil pumping systems are capable of handling thick, viscous oils, making it an essential tool for maintenance in concrete and construction industries.</w:t>
      </w:r>
      <w:r w:rsidDel="00000000" w:rsidR="00000000" w:rsidRPr="00000000">
        <w:rPr>
          <w:rtl w:val="0"/>
        </w:rPr>
      </w:r>
    </w:p>
    <w:p w:rsidR="00000000" w:rsidDel="00000000" w:rsidP="00000000" w:rsidRDefault="00000000" w:rsidRPr="00000000" w14:paraId="00000008">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0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p>
    <w:p w:rsidR="00000000" w:rsidDel="00000000" w:rsidP="00000000" w:rsidRDefault="00000000" w:rsidRPr="00000000" w14:paraId="0000000C">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4" name="image2.png"/>
          <a:graphic>
            <a:graphicData uri="http://schemas.openxmlformats.org/drawingml/2006/picture">
              <pic:pic>
                <pic:nvPicPr>
                  <pic:cNvPr id="0" name="image2.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qFormat w:val="1"/>
    <w:rsid w:val="00C56F39"/>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rFonts w:ascii="Calibri" w:cs="Calibri" w:eastAsia="Calibri" w:hAnsi="Calibri"/>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rFonts w:ascii="Calibri" w:cs="Calibri" w:eastAsia="Calibri" w:hAnsi="Calibri"/>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rFonts w:ascii="Calibri" w:cs="Calibri" w:eastAsia="Calibri" w:hAnsi="Calibri"/>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rFonts w:ascii="Calibri" w:cs="Calibri" w:eastAsia="Calibri" w:hAnsi="Calibri"/>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rFonts w:ascii="Calibri" w:cs="Calibri" w:eastAsia="Calibri" w:hAnsi="Calibri"/>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rFonts w:ascii="Calibri" w:cs="Calibri" w:eastAsia="Calibri" w:hAnsi="Calibri"/>
      <w:b w:val="1"/>
      <w:sz w:val="72"/>
      <w:szCs w:val="72"/>
    </w:rPr>
  </w:style>
  <w:style w:type="paragraph" w:styleId="Header">
    <w:name w:val="header"/>
    <w:basedOn w:val="Normal"/>
    <w:link w:val="HeaderChar"/>
    <w:uiPriority w:val="99"/>
    <w:unhideWhenUsed w:val="1"/>
    <w:rsid w:val="000714C2"/>
    <w:pPr>
      <w:tabs>
        <w:tab w:val="center" w:pos="4680"/>
        <w:tab w:val="right" w:pos="9360"/>
      </w:tabs>
    </w:pPr>
    <w:rPr>
      <w:rFonts w:ascii="Calibri" w:cs="Calibri" w:eastAsia="Calibri" w:hAnsi="Calibri"/>
    </w:r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rPr>
      <w:rFonts w:ascii="Calibri" w:cs="Calibri" w:eastAsia="Calibri" w:hAnsi="Calibri"/>
    </w:r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Hyperlink">
    <w:name w:val="Hyperlink"/>
    <w:basedOn w:val="DefaultParagraphFont"/>
    <w:uiPriority w:val="99"/>
    <w:unhideWhenUsed w:val="1"/>
    <w:rsid w:val="0012238B"/>
    <w:rPr>
      <w:color w:val="0563c1" w:themeColor="hyperlink"/>
      <w:u w:val="single"/>
    </w:rPr>
  </w:style>
  <w:style w:type="character" w:styleId="UnresolvedMention">
    <w:name w:val="Unresolved Mention"/>
    <w:basedOn w:val="DefaultParagraphFont"/>
    <w:uiPriority w:val="99"/>
    <w:semiHidden w:val="1"/>
    <w:unhideWhenUsed w:val="1"/>
    <w:rsid w:val="0012238B"/>
    <w:rPr>
      <w:color w:val="605e5c"/>
      <w:shd w:color="auto" w:fill="e1dfdd" w:val="clear"/>
    </w:rPr>
  </w:style>
  <w:style w:type="character" w:styleId="FollowedHyperlink">
    <w:name w:val="FollowedHyperlink"/>
    <w:basedOn w:val="DefaultParagraphFont"/>
    <w:uiPriority w:val="99"/>
    <w:semiHidden w:val="1"/>
    <w:unhideWhenUsed w:val="1"/>
    <w:rsid w:val="0012238B"/>
    <w:rPr>
      <w:color w:val="954f72" w:themeColor="followedHyperlink"/>
      <w:u w:val="single"/>
    </w:rPr>
  </w:style>
  <w:style w:type="paragraph" w:styleId="ListParagraph">
    <w:name w:val="List Paragraph"/>
    <w:basedOn w:val="Normal"/>
    <w:uiPriority w:val="34"/>
    <w:qFormat w:val="1"/>
    <w:rsid w:val="00716570"/>
    <w:pPr>
      <w:ind w:left="720"/>
      <w:contextualSpacing w:val="1"/>
    </w:pPr>
    <w:rPr>
      <w:rFonts w:ascii="Calibri" w:cs="Calibri" w:eastAsia="Calibri" w:hAnsi="Calibri"/>
    </w:rPr>
  </w:style>
  <w:style w:type="character" w:styleId="Strong">
    <w:name w:val="Strong"/>
    <w:basedOn w:val="DefaultParagraphFont"/>
    <w:uiPriority w:val="22"/>
    <w:qFormat w:val="1"/>
    <w:rsid w:val="00C56F39"/>
    <w:rPr>
      <w:b w:val="1"/>
      <w:bCs w:val="1"/>
    </w:rPr>
  </w:style>
  <w:style w:type="paragraph" w:styleId="NoSpacing">
    <w:name w:val="No Spacing"/>
    <w:uiPriority w:val="1"/>
    <w:qFormat w:val="1"/>
    <w:rsid w:val="00C56F39"/>
    <w:rPr>
      <w:rFonts w:ascii="Times New Roman" w:cs="Times New Roman" w:eastAsia="Times New Roman" w:hAnsi="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elliottmachine.com/fuel-lube1A.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KjszY2iz0UbugCgEfe/wE+uTnQ==">CgMxLjA4AHIhMVlnQ2dwSzJZcWpvSURLWThlb1hZNnp4NHExNkFwX01Z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2024-12-30T16:29:00Z</dcterms:created>
  <dc:creator>Kelsey Meyer</dc:creator>
</cp:coreProperties>
</file>