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ind w:lef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ab/>
        <w:tab/>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Stellar </w:t>
      </w:r>
      <w:r w:rsidDel="00000000" w:rsidR="00000000" w:rsidRPr="00000000">
        <w:rPr>
          <w:rFonts w:ascii="Arial" w:cs="Arial" w:eastAsia="Arial" w:hAnsi="Arial"/>
          <w:b w:val="1"/>
          <w:sz w:val="20"/>
          <w:szCs w:val="20"/>
          <w:rtl w:val="0"/>
        </w:rPr>
        <w:t xml:space="preserve">NXT18 Hooklift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NXT18 Hooklift offers unmatched performance and durability for a wide range of applications. With its innovative design and advanced features, the NXT18 delivers exceptional value and versatility</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serving as an adaptable tool for various tasks. Enhanced with</w:t>
      </w:r>
      <w:r w:rsidDel="00000000" w:rsidR="00000000" w:rsidRPr="00000000">
        <w:rPr>
          <w:rFonts w:ascii="Arial" w:cs="Arial" w:eastAsia="Arial" w:hAnsi="Arial"/>
          <w:sz w:val="20"/>
          <w:szCs w:val="20"/>
          <w:rtl w:val="0"/>
        </w:rPr>
        <w:t xml:space="preserve"> radio remote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controls, the NXT18 significantly boosts productivity by enabling precise handling.</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767676"/>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NXT18 Hooklift offers a best-in-class 7.5" lost load height and a formidable 18,000-lb lifting capacity. Engineered to accommodate 8' – 14' bodies for 84" – 120" CA chassis, this hooklift delivers unmatched versatility and performance. Its bolt-on body lock system ensures maximum compatibility and flexibility, offering universal adjustment for both inside and outside locks. Whether tackling demanding jobsites or seamlessly transitioning between various applications, the NXT18 Hooklift provides incredible efficiency and reliability for rental businesses.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visit </w:t>
      </w:r>
      <w:hyperlink r:id="rId8">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0000ff"/>
          <w:sz w:val="20"/>
          <w:szCs w:val="20"/>
          <w:u w:val="single"/>
          <w:rtl w:val="0"/>
        </w:rPr>
        <w:t xml:space="preserv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E">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4" name="image1.png"/>
          <a:graphic>
            <a:graphicData uri="http://schemas.openxmlformats.org/drawingml/2006/picture">
              <pic:pic>
                <pic:nvPicPr>
                  <pic:cNvPr id="0" name="image1.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6">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semiHidden w:val="1"/>
    <w:unhideWhenUsed w:val="1"/>
    <w:rsid w:val="006830B3"/>
    <w:pPr>
      <w:spacing w:after="100" w:afterAutospacing="1" w:before="100" w:beforeAutospacing="1"/>
    </w:pPr>
    <w:rPr>
      <w:rFonts w:ascii="Times New Roman" w:cs="Times New Roman" w:eastAsia="Times New Roman" w:hAnsi="Times New Roman"/>
    </w:rPr>
  </w:style>
  <w:style w:type="character" w:styleId="Strong">
    <w:name w:val="Strong"/>
    <w:basedOn w:val="DefaultParagraphFont"/>
    <w:uiPriority w:val="22"/>
    <w:qFormat w:val="1"/>
    <w:rsid w:val="006830B3"/>
    <w:rPr>
      <w:b w:val="1"/>
      <w:bCs w:val="1"/>
    </w:rPr>
  </w:style>
  <w:style w:type="character" w:styleId="Hyperlink">
    <w:name w:val="Hyperlink"/>
    <w:basedOn w:val="DefaultParagraphFont"/>
    <w:uiPriority w:val="99"/>
    <w:unhideWhenUsed w:val="1"/>
    <w:rsid w:val="006830B3"/>
    <w:rPr>
      <w:color w:val="0000ff"/>
      <w:u w:val="single"/>
    </w:rPr>
  </w:style>
  <w:style w:type="paragraph" w:styleId="NoSpacing">
    <w:name w:val="No Spacing"/>
    <w:uiPriority w:val="1"/>
    <w:qFormat w:val="1"/>
    <w:rsid w:val="006830B3"/>
  </w:style>
  <w:style w:type="character" w:styleId="FollowedHyperlink">
    <w:name w:val="FollowedHyperlink"/>
    <w:basedOn w:val="DefaultParagraphFont"/>
    <w:uiPriority w:val="99"/>
    <w:semiHidden w:val="1"/>
    <w:unhideWhenUsed w:val="1"/>
    <w:rsid w:val="003A240B"/>
    <w:rPr>
      <w:color w:val="954f72" w:themeColor="followedHyperlink"/>
      <w:u w:val="single"/>
    </w:rPr>
  </w:style>
  <w:style w:type="character" w:styleId="UnresolvedMention">
    <w:name w:val="Unresolved Mention"/>
    <w:basedOn w:val="DefaultParagraphFont"/>
    <w:uiPriority w:val="99"/>
    <w:semiHidden w:val="1"/>
    <w:unhideWhenUsed w:val="1"/>
    <w:rsid w:val="00D57EA6"/>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hooklift-roll-off-container-trucks/hooklift-nxt-series/nxt1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7ejz2sQqpM64zNUGUkmz3RxHsA==">CgMxLjA4AHIhMVBRbm5YelluMHNDMmNUMFViRXFCUldqRGJjYU5iZHNM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2024-02-14T17:30:00Z</dcterms:created>
  <dc:creator>Kelsey Meyer</dc:creator>
</cp:coreProperties>
</file>